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351B9DDD" w14:textId="77777777" w:rsidR="00F039C5" w:rsidRDefault="00F039C5" w:rsidP="00F039C5">
      <w:pPr>
        <w:jc w:val="both"/>
        <w:rPr>
          <w:rFonts w:ascii="Arial" w:hAnsi="Arial"/>
          <w:b/>
          <w:snapToGrid w:val="0"/>
          <w:sz w:val="24"/>
        </w:rPr>
      </w:pPr>
      <w:r>
        <w:rPr>
          <w:rFonts w:ascii="Arial" w:hAnsi="Arial"/>
          <w:b/>
          <w:snapToGrid w:val="0"/>
          <w:sz w:val="24"/>
        </w:rPr>
        <w:t>DEFINITIONS:</w:t>
      </w:r>
    </w:p>
    <w:p w14:paraId="7F83E998" w14:textId="77777777" w:rsidR="00F039C5" w:rsidRDefault="00F039C5" w:rsidP="00F039C5">
      <w:pPr>
        <w:jc w:val="both"/>
        <w:rPr>
          <w:rFonts w:ascii="Arial" w:hAnsi="Arial"/>
          <w:snapToGrid w:val="0"/>
          <w:sz w:val="24"/>
        </w:rPr>
      </w:pPr>
    </w:p>
    <w:p w14:paraId="02A562E9" w14:textId="77777777" w:rsidR="00F039C5" w:rsidRPr="00F039C5" w:rsidRDefault="00F039C5" w:rsidP="00F039C5">
      <w:pPr>
        <w:jc w:val="both"/>
        <w:rPr>
          <w:rFonts w:ascii="Arial" w:hAnsi="Arial"/>
          <w:i/>
          <w:snapToGrid w:val="0"/>
        </w:rPr>
      </w:pPr>
      <w:r w:rsidRPr="00F039C5">
        <w:rPr>
          <w:rFonts w:ascii="Arial" w:hAnsi="Arial"/>
          <w:snapToGrid w:val="0"/>
          <w:u w:val="single"/>
        </w:rPr>
        <w:t>Confined space:</w:t>
      </w:r>
      <w:r w:rsidRPr="00F039C5">
        <w:rPr>
          <w:rFonts w:ascii="Arial" w:hAnsi="Arial"/>
          <w:snapToGrid w:val="0"/>
        </w:rPr>
        <w:t xml:space="preserve"> </w:t>
      </w:r>
      <w:r w:rsidRPr="00F039C5">
        <w:rPr>
          <w:rFonts w:ascii="Arial" w:hAnsi="Arial"/>
          <w:i/>
          <w:snapToGrid w:val="0"/>
        </w:rPr>
        <w:t>a space that Is large enough and so configured that an employee can bodily enter and performed assigned work; and has limited or restricted means for entry or exit (for example: tanks, vessels, silos, storage bins, hoppers, vaults, and pits are spaces that may have limited means of entry); and  Is not designed for continuous employee occupancy.</w:t>
      </w:r>
    </w:p>
    <w:p w14:paraId="1DD02D55" w14:textId="77777777" w:rsidR="00F039C5" w:rsidRPr="00F039C5" w:rsidRDefault="00F039C5" w:rsidP="00F039C5">
      <w:pPr>
        <w:jc w:val="both"/>
        <w:rPr>
          <w:rFonts w:ascii="Arial" w:hAnsi="Arial"/>
          <w:snapToGrid w:val="0"/>
        </w:rPr>
      </w:pPr>
    </w:p>
    <w:p w14:paraId="5667E18F" w14:textId="77777777" w:rsidR="00F039C5" w:rsidRPr="00F039C5" w:rsidRDefault="00F039C5" w:rsidP="00F039C5">
      <w:pPr>
        <w:jc w:val="both"/>
        <w:rPr>
          <w:rFonts w:ascii="Arial" w:hAnsi="Arial"/>
          <w:snapToGrid w:val="0"/>
        </w:rPr>
      </w:pPr>
      <w:r w:rsidRPr="00F039C5">
        <w:rPr>
          <w:rFonts w:ascii="Arial" w:hAnsi="Arial"/>
          <w:snapToGrid w:val="0"/>
          <w:u w:val="single"/>
        </w:rPr>
        <w:t>Permit-Required Confined Space:</w:t>
      </w:r>
      <w:r w:rsidRPr="00F039C5">
        <w:rPr>
          <w:rFonts w:ascii="Arial" w:hAnsi="Arial"/>
          <w:snapToGrid w:val="0"/>
        </w:rPr>
        <w:t xml:space="preserve"> </w:t>
      </w:r>
      <w:r w:rsidRPr="00F039C5">
        <w:rPr>
          <w:rFonts w:ascii="Arial" w:hAnsi="Arial"/>
          <w:i/>
          <w:snapToGrid w:val="0"/>
        </w:rPr>
        <w:t>A Confined space is considered “Permit required” if it has one or more of the following characteristics: 1). Contains or has a potential to contain a hazardous atmosphere. 2). Contains a material that has the potential for engulfing the entrant; 3). Has an internal configuration such that an entrant could be trapped or asphyxiated by inwardly converging walls or by a floor which slopes; or 4). Contains any other recognized serious safety or health hazard.</w:t>
      </w:r>
    </w:p>
    <w:p w14:paraId="6A4506F5" w14:textId="77777777" w:rsidR="00F039C5" w:rsidRPr="00F039C5" w:rsidRDefault="00F039C5" w:rsidP="00F039C5">
      <w:pPr>
        <w:jc w:val="both"/>
        <w:rPr>
          <w:rFonts w:ascii="Arial" w:hAnsi="Arial"/>
          <w:snapToGrid w:val="0"/>
        </w:rPr>
      </w:pPr>
    </w:p>
    <w:p w14:paraId="7528E74D" w14:textId="77777777" w:rsidR="00F039C5" w:rsidRPr="00F039C5" w:rsidRDefault="00F039C5" w:rsidP="00F039C5">
      <w:pPr>
        <w:jc w:val="both"/>
        <w:rPr>
          <w:rFonts w:ascii="Arial" w:hAnsi="Arial"/>
          <w:i/>
          <w:snapToGrid w:val="0"/>
        </w:rPr>
      </w:pPr>
      <w:r w:rsidRPr="00F039C5">
        <w:rPr>
          <w:rFonts w:ascii="Arial" w:hAnsi="Arial"/>
          <w:snapToGrid w:val="0"/>
          <w:u w:val="single"/>
        </w:rPr>
        <w:t>Non-Permit Required Confined Space:</w:t>
      </w:r>
      <w:r w:rsidRPr="00F039C5">
        <w:rPr>
          <w:rFonts w:ascii="Arial" w:hAnsi="Arial"/>
          <w:snapToGrid w:val="0"/>
        </w:rPr>
        <w:t xml:space="preserve"> </w:t>
      </w:r>
      <w:r w:rsidRPr="00F039C5">
        <w:rPr>
          <w:rFonts w:ascii="Arial" w:hAnsi="Arial"/>
          <w:i/>
          <w:snapToGrid w:val="0"/>
        </w:rPr>
        <w:t xml:space="preserve">a confined space that does not contain or, with respect to atmospheric hazards, have the potential to contain any hazard capable of causing death or serious physical harm". </w:t>
      </w:r>
    </w:p>
    <w:p w14:paraId="3D3E704E" w14:textId="77777777" w:rsidR="00F039C5" w:rsidRPr="00F039C5" w:rsidRDefault="00F039C5" w:rsidP="00F039C5">
      <w:pPr>
        <w:jc w:val="both"/>
        <w:rPr>
          <w:rFonts w:ascii="Arial" w:hAnsi="Arial"/>
          <w:snapToGrid w:val="0"/>
        </w:rPr>
      </w:pPr>
    </w:p>
    <w:p w14:paraId="1F673994" w14:textId="77777777" w:rsidR="00F039C5" w:rsidRPr="00F039C5" w:rsidRDefault="00F039C5" w:rsidP="00F039C5">
      <w:pPr>
        <w:jc w:val="both"/>
        <w:rPr>
          <w:rFonts w:ascii="Arial" w:hAnsi="Arial"/>
          <w:i/>
          <w:snapToGrid w:val="0"/>
        </w:rPr>
      </w:pPr>
      <w:r w:rsidRPr="00F039C5">
        <w:rPr>
          <w:rFonts w:ascii="Arial" w:hAnsi="Arial"/>
          <w:snapToGrid w:val="0"/>
          <w:u w:val="single"/>
        </w:rPr>
        <w:t>No-Entry Confined Space:</w:t>
      </w:r>
      <w:r w:rsidRPr="00F039C5">
        <w:rPr>
          <w:rFonts w:ascii="Arial" w:hAnsi="Arial"/>
          <w:snapToGrid w:val="0"/>
        </w:rPr>
        <w:t xml:space="preserve"> </w:t>
      </w:r>
      <w:r w:rsidRPr="00F039C5">
        <w:rPr>
          <w:rFonts w:ascii="Arial" w:hAnsi="Arial"/>
          <w:i/>
          <w:snapToGrid w:val="0"/>
        </w:rPr>
        <w:t>A space where our employees are not allowed to enter. These spaces require the posting of do-not-enter signs. Contractors may be called upon to work in these areas. If a Contractor is called upon to work in these areas, a Confined Space Entry Permit is required and special precautions will be made prior to entry.</w:t>
      </w:r>
    </w:p>
    <w:p w14:paraId="5618A30E" w14:textId="77777777" w:rsidR="00F039C5" w:rsidRPr="00F039C5" w:rsidRDefault="00F039C5" w:rsidP="00F039C5">
      <w:pPr>
        <w:jc w:val="both"/>
        <w:rPr>
          <w:rFonts w:ascii="Arial" w:hAnsi="Arial"/>
          <w:snapToGrid w:val="0"/>
        </w:rPr>
      </w:pPr>
    </w:p>
    <w:p w14:paraId="0A342416" w14:textId="77777777" w:rsidR="00F039C5" w:rsidRPr="00F039C5" w:rsidRDefault="00F039C5" w:rsidP="00F039C5">
      <w:pPr>
        <w:jc w:val="both"/>
        <w:rPr>
          <w:rFonts w:ascii="Arial" w:hAnsi="Arial"/>
          <w:i/>
          <w:snapToGrid w:val="0"/>
        </w:rPr>
      </w:pPr>
      <w:r w:rsidRPr="00F039C5">
        <w:rPr>
          <w:rFonts w:ascii="Arial" w:hAnsi="Arial"/>
          <w:snapToGrid w:val="0"/>
          <w:u w:val="single"/>
        </w:rPr>
        <w:t>Hazardous Atmospheres:</w:t>
      </w:r>
      <w:r w:rsidRPr="00F039C5">
        <w:rPr>
          <w:rFonts w:ascii="Arial" w:hAnsi="Arial"/>
          <w:snapToGrid w:val="0"/>
        </w:rPr>
        <w:t xml:space="preserve"> </w:t>
      </w:r>
      <w:r w:rsidRPr="00F039C5">
        <w:rPr>
          <w:rFonts w:ascii="Arial" w:hAnsi="Arial"/>
          <w:i/>
          <w:snapToGrid w:val="0"/>
        </w:rPr>
        <w:t>An atmosphere which poses a danger to persons or property. Hazardous Atmospheres can be defined as Flammable, Toxic, Irritant / corrosive, and Asphyxiating.</w:t>
      </w:r>
    </w:p>
    <w:p w14:paraId="0D5904DC" w14:textId="77777777" w:rsidR="00F039C5" w:rsidRPr="00F039C5" w:rsidRDefault="00F039C5" w:rsidP="00F039C5">
      <w:pPr>
        <w:jc w:val="both"/>
        <w:rPr>
          <w:rFonts w:ascii="Arial" w:hAnsi="Arial"/>
          <w:snapToGrid w:val="0"/>
        </w:rPr>
      </w:pPr>
    </w:p>
    <w:p w14:paraId="2B1C2D7C" w14:textId="77777777" w:rsidR="00F039C5" w:rsidRPr="00F039C5" w:rsidRDefault="00F039C5" w:rsidP="00F039C5">
      <w:pPr>
        <w:jc w:val="both"/>
        <w:rPr>
          <w:rFonts w:ascii="Arial" w:hAnsi="Arial"/>
          <w:i/>
          <w:snapToGrid w:val="0"/>
        </w:rPr>
      </w:pPr>
      <w:r w:rsidRPr="00F039C5">
        <w:rPr>
          <w:rFonts w:ascii="Arial" w:hAnsi="Arial"/>
          <w:snapToGrid w:val="0"/>
          <w:u w:val="single"/>
        </w:rPr>
        <w:t>Hazardous Atmospheres - Flammable:</w:t>
      </w:r>
      <w:r w:rsidRPr="00F039C5">
        <w:rPr>
          <w:rFonts w:ascii="Arial" w:hAnsi="Arial"/>
          <w:snapToGrid w:val="0"/>
        </w:rPr>
        <w:t xml:space="preserve"> </w:t>
      </w:r>
      <w:r w:rsidRPr="00F039C5">
        <w:rPr>
          <w:rFonts w:ascii="Arial" w:hAnsi="Arial"/>
          <w:i/>
          <w:snapToGrid w:val="0"/>
        </w:rPr>
        <w:t>Generally An atmosphere arises from enriched oxygen atmospheres, vaporization of flammable liquids, byproducts of work, chemical reactions, concentration of combustible dust or absorption of chemicals from inner surfaces of the confined space. For instance, ammonia may result in a flammable atmosphere.</w:t>
      </w:r>
    </w:p>
    <w:p w14:paraId="7309C569" w14:textId="77777777" w:rsidR="00F039C5" w:rsidRPr="00F039C5" w:rsidRDefault="00F039C5" w:rsidP="00F039C5">
      <w:pPr>
        <w:jc w:val="both"/>
        <w:rPr>
          <w:rFonts w:ascii="Arial" w:hAnsi="Arial"/>
          <w:snapToGrid w:val="0"/>
        </w:rPr>
      </w:pPr>
    </w:p>
    <w:p w14:paraId="58E74567" w14:textId="77777777" w:rsidR="00F039C5" w:rsidRPr="00F039C5" w:rsidRDefault="00F039C5" w:rsidP="00F039C5">
      <w:pPr>
        <w:jc w:val="both"/>
        <w:rPr>
          <w:rFonts w:ascii="Arial" w:hAnsi="Arial"/>
          <w:i/>
          <w:snapToGrid w:val="0"/>
        </w:rPr>
      </w:pPr>
      <w:r w:rsidRPr="00F039C5">
        <w:rPr>
          <w:rFonts w:ascii="Arial" w:hAnsi="Arial"/>
          <w:snapToGrid w:val="0"/>
          <w:u w:val="single"/>
        </w:rPr>
        <w:t>Hazardous Atmospheres - Toxic:</w:t>
      </w:r>
      <w:r w:rsidRPr="00F039C5">
        <w:rPr>
          <w:rFonts w:ascii="Arial" w:hAnsi="Arial"/>
          <w:snapToGrid w:val="0"/>
        </w:rPr>
        <w:t xml:space="preserve"> </w:t>
      </w:r>
      <w:r w:rsidRPr="00F039C5">
        <w:rPr>
          <w:rFonts w:ascii="Arial" w:hAnsi="Arial"/>
          <w:i/>
          <w:snapToGrid w:val="0"/>
        </w:rPr>
        <w:t>The substances to be regarded as toxic in a confined space can cover the entire spectrum of gases, vapors, and air-borne dusts. Examples include: 1.) Manufacturing process (such as charcoal manufacturing), 2.) Product storage (such as Removing decomposed organic material from a tank), 3.) operations performed in the confined space (such as welding or brazing).</w:t>
      </w:r>
    </w:p>
    <w:p w14:paraId="3B5E6ECA" w14:textId="77777777" w:rsidR="00F039C5" w:rsidRPr="00F039C5" w:rsidRDefault="00F039C5" w:rsidP="00F039C5">
      <w:pPr>
        <w:jc w:val="both"/>
        <w:rPr>
          <w:rFonts w:ascii="Arial" w:hAnsi="Arial"/>
          <w:snapToGrid w:val="0"/>
          <w:u w:val="single"/>
        </w:rPr>
      </w:pPr>
    </w:p>
    <w:p w14:paraId="30CD0437" w14:textId="77777777" w:rsidR="00F039C5" w:rsidRPr="00F039C5" w:rsidRDefault="00F039C5" w:rsidP="00F039C5">
      <w:pPr>
        <w:jc w:val="both"/>
        <w:rPr>
          <w:rFonts w:ascii="Arial" w:hAnsi="Arial"/>
          <w:i/>
          <w:snapToGrid w:val="0"/>
        </w:rPr>
      </w:pPr>
      <w:r w:rsidRPr="00F039C5">
        <w:rPr>
          <w:rFonts w:ascii="Arial" w:hAnsi="Arial"/>
          <w:snapToGrid w:val="0"/>
          <w:u w:val="single"/>
        </w:rPr>
        <w:t>Hazardous Atmospheres – Irritant / and or Corrosive:</w:t>
      </w:r>
      <w:r w:rsidRPr="00F039C5">
        <w:rPr>
          <w:rFonts w:ascii="Arial" w:hAnsi="Arial"/>
          <w:snapToGrid w:val="0"/>
        </w:rPr>
        <w:t xml:space="preserve"> </w:t>
      </w:r>
      <w:r w:rsidRPr="00F039C5">
        <w:rPr>
          <w:rFonts w:ascii="Arial" w:hAnsi="Arial"/>
          <w:i/>
          <w:snapToGrid w:val="0"/>
        </w:rPr>
        <w:t>Irritant or corrosive atmospheres can generally be divided into primary and secondary groups. The primary irritants exert no systemic toxic effects because the products formed by them on tissues of the respiratory tract are non-irritant and other irritant effects are so violent as to obscure any systemic toxic action. (Examples are chlorine, ozone, hydrochloric acid, sulfuric acid, ammonia, etc.). A secondary irritant is one that may produce systemic toxic effects in addition to surface irritation. (Examples include benzene, carbon tetrachloride, other chlorinated solvents, etc.). The danger of this atmosphere is that the worker is usually not aware of any increase in his exposure to toxic substances.</w:t>
      </w:r>
    </w:p>
    <w:p w14:paraId="44277ABC" w14:textId="77777777" w:rsidR="00F039C5" w:rsidRPr="00F039C5" w:rsidRDefault="00F039C5" w:rsidP="00F039C5">
      <w:pPr>
        <w:jc w:val="both"/>
        <w:rPr>
          <w:rFonts w:ascii="Arial" w:hAnsi="Arial"/>
          <w:snapToGrid w:val="0"/>
        </w:rPr>
      </w:pPr>
    </w:p>
    <w:p w14:paraId="399C6673" w14:textId="77777777" w:rsidR="00F039C5" w:rsidRPr="00F039C5" w:rsidRDefault="00F039C5" w:rsidP="00F039C5">
      <w:pPr>
        <w:jc w:val="both"/>
        <w:rPr>
          <w:rFonts w:ascii="Arial" w:hAnsi="Arial"/>
          <w:i/>
          <w:snapToGrid w:val="0"/>
        </w:rPr>
      </w:pPr>
      <w:r w:rsidRPr="00F039C5">
        <w:rPr>
          <w:rFonts w:ascii="Arial" w:hAnsi="Arial"/>
          <w:snapToGrid w:val="0"/>
          <w:u w:val="single"/>
        </w:rPr>
        <w:t>Hazardous Atmospheres – Asphyxiating:</w:t>
      </w:r>
      <w:r w:rsidRPr="00F039C5">
        <w:rPr>
          <w:rFonts w:ascii="Arial" w:hAnsi="Arial"/>
          <w:snapToGrid w:val="0"/>
        </w:rPr>
        <w:t xml:space="preserve"> </w:t>
      </w:r>
      <w:r w:rsidRPr="00F039C5">
        <w:rPr>
          <w:rFonts w:ascii="Arial" w:hAnsi="Arial"/>
          <w:i/>
          <w:snapToGrid w:val="0"/>
        </w:rPr>
        <w:t>The normal atmosphere is composed of approximately 21% oxygen and 78% nitrogen and various other gases. An Asphyxiating Atmosphere is deficient of the proper amount of Oxygen. Reduction of oxygen in a confined space may be the result of either consumption or displacement.</w:t>
      </w:r>
    </w:p>
    <w:p w14:paraId="40130FB0" w14:textId="77777777" w:rsidR="00F039C5" w:rsidRPr="00F039C5" w:rsidRDefault="00F039C5" w:rsidP="00F039C5">
      <w:pPr>
        <w:jc w:val="both"/>
        <w:rPr>
          <w:rFonts w:ascii="Arial" w:hAnsi="Arial"/>
          <w:snapToGrid w:val="0"/>
        </w:rPr>
      </w:pPr>
    </w:p>
    <w:p w14:paraId="364D9879" w14:textId="77777777" w:rsidR="00F039C5" w:rsidRPr="00F039C5" w:rsidRDefault="00F039C5" w:rsidP="00F039C5">
      <w:pPr>
        <w:jc w:val="both"/>
        <w:rPr>
          <w:rFonts w:ascii="Arial" w:hAnsi="Arial"/>
          <w:i/>
          <w:snapToGrid w:val="0"/>
        </w:rPr>
      </w:pPr>
      <w:r w:rsidRPr="00F039C5">
        <w:rPr>
          <w:snapToGrid w:val="0"/>
          <w:u w:val="single"/>
        </w:rPr>
        <w:t>Ventilation:</w:t>
      </w:r>
      <w:r w:rsidRPr="00F039C5">
        <w:rPr>
          <w:snapToGrid w:val="0"/>
        </w:rPr>
        <w:t xml:space="preserve"> </w:t>
      </w:r>
      <w:r w:rsidRPr="00F039C5">
        <w:rPr>
          <w:rFonts w:ascii="Arial" w:hAnsi="Arial"/>
          <w:i/>
          <w:snapToGrid w:val="0"/>
        </w:rPr>
        <w:t>Ventilation for confined space purposes should consist of about 20 air charges per hour. This means charging the air in a space once every three minutes.</w:t>
      </w:r>
    </w:p>
    <w:p w14:paraId="420AD85F" w14:textId="52E92C89" w:rsidR="00F039C5" w:rsidRDefault="00F039C5">
      <w:pPr>
        <w:rPr>
          <w:rFonts w:ascii="Arial" w:hAnsi="Arial" w:cs="Arial"/>
          <w:b/>
          <w:spacing w:val="-3"/>
        </w:rPr>
      </w:pPr>
      <w:r>
        <w:rPr>
          <w:rFonts w:ascii="Arial" w:hAnsi="Arial" w:cs="Arial"/>
          <w:b/>
          <w:spacing w:val="-3"/>
        </w:rPr>
        <w:br w:type="page"/>
      </w:r>
    </w:p>
    <w:p w14:paraId="565E712A" w14:textId="77777777" w:rsidR="00F039C5" w:rsidRDefault="00F039C5"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1388B493" w:rsidR="00B93D9A" w:rsidRPr="003D7A79" w:rsidRDefault="00B93D9A" w:rsidP="00F039C5">
            <w:pPr>
              <w:tabs>
                <w:tab w:val="left" w:pos="417"/>
                <w:tab w:val="left" w:pos="864"/>
                <w:tab w:val="left" w:pos="1454"/>
                <w:tab w:val="left" w:pos="2707"/>
                <w:tab w:val="left" w:pos="7747"/>
              </w:tabs>
              <w:jc w:val="center"/>
              <w:rPr>
                <w:rFonts w:ascii="Arial" w:hAnsi="Arial" w:cs="Arial"/>
              </w:rPr>
            </w:pPr>
            <w:r>
              <w:rPr>
                <w:rFonts w:ascii="Arial" w:hAnsi="Arial" w:cs="Arial"/>
              </w:rPr>
              <w:t>6/</w:t>
            </w:r>
            <w:r w:rsidR="00F039C5">
              <w:rPr>
                <w:rFonts w:ascii="Arial" w:hAnsi="Arial" w:cs="Arial"/>
              </w:rPr>
              <w:t>30</w:t>
            </w:r>
            <w:r>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3A617CCD" w:rsidR="00B93D9A" w:rsidRPr="003D7A79" w:rsidRDefault="00C24432"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0EB520B7" w:rsidR="00B93D9A" w:rsidRPr="003D7A79" w:rsidRDefault="00855220"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7AD19CF8" w:rsidR="00B93D9A" w:rsidRPr="003D7A79" w:rsidRDefault="00855220"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57ED9585" w:rsidR="00B93D9A" w:rsidRPr="003D7A79" w:rsidRDefault="00855220"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C24432"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64FF0451" w:rsidR="00C24432" w:rsidRPr="003D7A79" w:rsidRDefault="00C24432" w:rsidP="00C24432">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7595919C" w:rsidR="00C24432" w:rsidRPr="003D7A79" w:rsidRDefault="00C24432" w:rsidP="00C24432">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00995B4B" w:rsidR="00C24432" w:rsidRPr="003D7A79" w:rsidRDefault="00C24432" w:rsidP="00C24432">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3D3281DD" w:rsidR="00C24432" w:rsidRPr="003D7A79" w:rsidRDefault="00C24432" w:rsidP="00C24432">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792A85" w14:paraId="52E97606" w14:textId="77777777" w:rsidTr="00792A85">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726940B9" w14:textId="77777777" w:rsidR="00792A85" w:rsidRDefault="00792A85">
            <w:pPr>
              <w:tabs>
                <w:tab w:val="left" w:pos="417"/>
                <w:tab w:val="left" w:pos="864"/>
                <w:tab w:val="left" w:pos="1454"/>
                <w:tab w:val="left" w:pos="2707"/>
                <w:tab w:val="left" w:pos="7747"/>
              </w:tabs>
              <w:jc w:val="center"/>
              <w:rPr>
                <w:rFonts w:ascii="Arial" w:hAnsi="Arial" w:cs="Arial"/>
              </w:rPr>
            </w:pPr>
            <w:bookmarkStart w:id="0" w:name="_GoBack"/>
            <w:bookmarkEnd w:id="0"/>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hideMark/>
          </w:tcPr>
          <w:p w14:paraId="4AE4E301" w14:textId="77777777" w:rsidR="00792A85" w:rsidRDefault="00792A85">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9E5897C" w14:textId="77777777" w:rsidR="00792A85" w:rsidRDefault="00792A8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5D83803" w14:textId="77777777" w:rsidR="00792A85" w:rsidRDefault="00792A85">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52EF" w14:textId="77777777" w:rsidR="00F039C5" w:rsidRDefault="00F03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3D950B61"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792A85">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C24432">
      <w:rPr>
        <w:rFonts w:ascii="Arial" w:hAnsi="Arial" w:cs="Arial"/>
        <w:noProof/>
        <w:snapToGrid w:val="0"/>
        <w:sz w:val="16"/>
        <w:szCs w:val="16"/>
      </w:rPr>
      <w:t>1</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C24432">
      <w:rPr>
        <w:rFonts w:ascii="Arial" w:hAnsi="Arial" w:cs="Arial"/>
        <w:noProof/>
        <w:snapToGrid w:val="0"/>
        <w:sz w:val="16"/>
        <w:szCs w:val="16"/>
      </w:rPr>
      <w:t>2</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4ADA" w14:textId="77777777" w:rsidR="00F039C5" w:rsidRDefault="00F0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4C2E" w14:textId="77777777" w:rsidR="00F039C5" w:rsidRDefault="00F03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2B8E1CFF" w:rsidR="00CB097B" w:rsidRPr="00DA0FCA" w:rsidRDefault="00CB097B" w:rsidP="00CB097B">
          <w:pPr>
            <w:pStyle w:val="Header"/>
            <w:jc w:val="center"/>
            <w:rPr>
              <w:rFonts w:ascii="Arial" w:hAnsi="Arial" w:cs="Arial"/>
              <w:b/>
            </w:rPr>
          </w:pPr>
          <w:r>
            <w:rPr>
              <w:rFonts w:ascii="Arial" w:hAnsi="Arial" w:cs="Arial"/>
              <w:b/>
            </w:rPr>
            <w:t xml:space="preserve">Section </w:t>
          </w:r>
          <w:r w:rsidR="00F039C5">
            <w:rPr>
              <w:rFonts w:ascii="Arial" w:hAnsi="Arial" w:cs="Arial"/>
              <w:b/>
            </w:rPr>
            <w:t>04E</w:t>
          </w:r>
        </w:p>
        <w:p w14:paraId="26CC66BD" w14:textId="6FB830DA" w:rsidR="00CB097B" w:rsidRPr="00423679" w:rsidRDefault="00F039C5" w:rsidP="00CB097B">
          <w:pPr>
            <w:pStyle w:val="Header"/>
            <w:jc w:val="center"/>
            <w:rPr>
              <w:rFonts w:ascii="Arial" w:hAnsi="Arial" w:cs="Arial"/>
              <w:b/>
            </w:rPr>
          </w:pPr>
          <w:r>
            <w:rPr>
              <w:rFonts w:ascii="Arial" w:hAnsi="Arial" w:cs="Arial"/>
              <w:b/>
              <w:color w:val="FF0000"/>
            </w:rPr>
            <w:t xml:space="preserve">Confined Space </w:t>
          </w:r>
          <w:proofErr w:type="spellStart"/>
          <w:r>
            <w:rPr>
              <w:rFonts w:ascii="Arial" w:hAnsi="Arial" w:cs="Arial"/>
              <w:b/>
              <w:color w:val="FF0000"/>
            </w:rPr>
            <w:t>Defintions</w:t>
          </w:r>
          <w:proofErr w:type="spellEnd"/>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B016F5">
            <w:rPr>
              <w:rFonts w:ascii="Arial" w:hAnsi="Arial" w:cs="Arial"/>
              <w:noProof/>
              <w:sz w:val="16"/>
              <w:szCs w:val="16"/>
            </w:rPr>
            <w:t>04E WMI-Confined Space Definitions.docx</w:t>
          </w:r>
          <w:r w:rsidRPr="00213E0F">
            <w:rPr>
              <w:rFonts w:ascii="Arial" w:hAnsi="Arial" w:cs="Arial"/>
              <w:noProof/>
              <w:sz w:val="16"/>
              <w:szCs w:val="16"/>
            </w:rPr>
            <w:fldChar w:fldCharType="end"/>
          </w:r>
        </w:p>
        <w:p w14:paraId="26CC66BF" w14:textId="28E0EA4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F039C5">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481E379B"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C24432">
            <w:rPr>
              <w:rFonts w:ascii="Arial" w:hAnsi="Arial" w:cs="Arial"/>
              <w:noProof/>
              <w:sz w:val="16"/>
              <w:szCs w:val="16"/>
            </w:rPr>
            <w:t>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C24432">
            <w:rPr>
              <w:rFonts w:ascii="Arial" w:hAnsi="Arial" w:cs="Arial"/>
              <w:noProof/>
              <w:sz w:val="16"/>
              <w:szCs w:val="16"/>
            </w:rPr>
            <w:t>2</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A02C" w14:textId="77777777" w:rsidR="00F039C5" w:rsidRDefault="00F03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B2C97"/>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059C9"/>
    <w:rsid w:val="00527CF5"/>
    <w:rsid w:val="00537BE7"/>
    <w:rsid w:val="005454FB"/>
    <w:rsid w:val="0057157A"/>
    <w:rsid w:val="00574490"/>
    <w:rsid w:val="0059258C"/>
    <w:rsid w:val="005C58EF"/>
    <w:rsid w:val="005D755A"/>
    <w:rsid w:val="005E573D"/>
    <w:rsid w:val="005F1604"/>
    <w:rsid w:val="005F2CAD"/>
    <w:rsid w:val="00621287"/>
    <w:rsid w:val="006330E1"/>
    <w:rsid w:val="006373AF"/>
    <w:rsid w:val="006433C4"/>
    <w:rsid w:val="006536DE"/>
    <w:rsid w:val="0067228C"/>
    <w:rsid w:val="006752CF"/>
    <w:rsid w:val="00700547"/>
    <w:rsid w:val="00703184"/>
    <w:rsid w:val="00713B8B"/>
    <w:rsid w:val="00783A48"/>
    <w:rsid w:val="00792A85"/>
    <w:rsid w:val="007D4570"/>
    <w:rsid w:val="007F252C"/>
    <w:rsid w:val="00806208"/>
    <w:rsid w:val="00855220"/>
    <w:rsid w:val="00873FDA"/>
    <w:rsid w:val="008757CD"/>
    <w:rsid w:val="008A4B1F"/>
    <w:rsid w:val="008A558E"/>
    <w:rsid w:val="008A64E9"/>
    <w:rsid w:val="008C56C3"/>
    <w:rsid w:val="008D7507"/>
    <w:rsid w:val="008E3369"/>
    <w:rsid w:val="00903D34"/>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16F5"/>
    <w:rsid w:val="00B05CB4"/>
    <w:rsid w:val="00B100D7"/>
    <w:rsid w:val="00B32AB9"/>
    <w:rsid w:val="00B82E09"/>
    <w:rsid w:val="00B93D9A"/>
    <w:rsid w:val="00B94287"/>
    <w:rsid w:val="00B9550B"/>
    <w:rsid w:val="00BA7ED3"/>
    <w:rsid w:val="00BB0908"/>
    <w:rsid w:val="00BD2CE7"/>
    <w:rsid w:val="00C14A71"/>
    <w:rsid w:val="00C17A7F"/>
    <w:rsid w:val="00C24432"/>
    <w:rsid w:val="00CA052E"/>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07E1"/>
    <w:rsid w:val="00ED57BD"/>
    <w:rsid w:val="00F039C5"/>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2016-06-13T15:30:00Z</dcterms:created>
  <dcterms:modified xsi:type="dcterms:W3CDTF">2019-06-07T13:49:00Z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